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EF803" w14:textId="77777777" w:rsidR="00000000" w:rsidRDefault="00992FDE">
      <w:pPr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10B17D41" wp14:editId="041EF392">
            <wp:extent cx="2032000" cy="1524000"/>
            <wp:effectExtent l="0" t="0" r="6350" b="0"/>
            <wp:docPr id="1" name="Picture 1" descr="ДҮРЭМ БАТЛАХ ТУХАЙ /Иргэний нисэхийн улсын хяналтын дүрэм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ҮРЭМ БАТЛАХ ТУХАЙ /Иргэний нисэхийн улсын хяналтын дүрэм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D7B09" w14:textId="77777777" w:rsidR="00000000" w:rsidRDefault="00992FDE">
      <w:pPr>
        <w:spacing w:after="240"/>
        <w:rPr>
          <w:rFonts w:ascii="Arial" w:eastAsia="Times New Roman" w:hAnsi="Arial" w:cs="Arial"/>
          <w:sz w:val="20"/>
          <w:szCs w:val="20"/>
        </w:rPr>
      </w:pPr>
    </w:p>
    <w:p w14:paraId="0545C9FC" w14:textId="77777777" w:rsidR="00000000" w:rsidRDefault="00992FDE">
      <w:pPr>
        <w:jc w:val="center"/>
        <w:divId w:val="94391974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ЗАСГИЙН ГАЗРЫН ТОГТООЛ</w:t>
      </w:r>
    </w:p>
    <w:p w14:paraId="6162877C" w14:textId="77777777" w:rsidR="00000000" w:rsidRDefault="00992FDE">
      <w:pPr>
        <w:jc w:val="center"/>
        <w:divId w:val="94391974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ДҮРЭМ БАТЛАХ ТУХАЙ /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Иргэний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нисэхийн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улсын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хяналтын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дүрэм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>/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3110"/>
        <w:gridCol w:w="3125"/>
      </w:tblGrid>
      <w:tr w:rsidR="00000000" w14:paraId="4B82B10D" w14:textId="77777777">
        <w:trPr>
          <w:tblCellSpacing w:w="15" w:type="dxa"/>
        </w:trPr>
        <w:tc>
          <w:tcPr>
            <w:tcW w:w="1650" w:type="pct"/>
            <w:vAlign w:val="center"/>
            <w:hideMark/>
          </w:tcPr>
          <w:p w14:paraId="1BF49011" w14:textId="77777777" w:rsidR="00000000" w:rsidRDefault="00992FD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2002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оны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дугаар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сарын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1-ний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өдөр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14:paraId="1047A4DC" w14:textId="77777777" w:rsidR="00000000" w:rsidRDefault="00992FDE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14:paraId="278C46BE" w14:textId="77777777" w:rsidR="00000000" w:rsidRDefault="00992FDE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хот</w:t>
            </w:r>
            <w:proofErr w:type="spellEnd"/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 xml:space="preserve"> </w:t>
            </w:r>
          </w:p>
        </w:tc>
      </w:tr>
    </w:tbl>
    <w:p w14:paraId="6FCF2B3E" w14:textId="77777777" w:rsidR="00000000" w:rsidRDefault="00992FDE">
      <w:pPr>
        <w:rPr>
          <w:rFonts w:ascii="Arial" w:eastAsia="Times New Roman" w:hAnsi="Arial" w:cs="Arial"/>
          <w:sz w:val="20"/>
          <w:szCs w:val="20"/>
        </w:rPr>
      </w:pPr>
    </w:p>
    <w:p w14:paraId="79BADC76" w14:textId="77777777" w:rsidR="00000000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Дугаар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83 </w:t>
      </w:r>
    </w:p>
    <w:p w14:paraId="10A88D49" w14:textId="77777777" w:rsidR="00000000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Захиргааны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хариуцлагын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тухай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хуулийн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41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дүгээр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зүйлийн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2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дахь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хэсгийг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үндэслэн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Монгол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Улсын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Засгийн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газраас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ТОГТООХ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нь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</w:p>
    <w:p w14:paraId="2D40EB15" w14:textId="77777777" w:rsidR="00000000" w:rsidRDefault="00992FDE">
      <w:pPr>
        <w:pStyle w:val="NormalWeb"/>
        <w:ind w:firstLine="720"/>
        <w:divId w:val="13874094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“</w:t>
      </w:r>
      <w:proofErr w:type="spellStart"/>
      <w:r>
        <w:rPr>
          <w:rFonts w:ascii="Arial" w:hAnsi="Arial" w:cs="Arial"/>
          <w:sz w:val="20"/>
          <w:szCs w:val="20"/>
        </w:rPr>
        <w:t>Иргэний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нисэхийн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улсын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хяналтын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дүрэм</w:t>
      </w:r>
      <w:proofErr w:type="spellEnd"/>
      <w:r>
        <w:rPr>
          <w:rFonts w:ascii="Arial" w:hAnsi="Arial" w:cs="Arial"/>
          <w:sz w:val="20"/>
          <w:szCs w:val="20"/>
        </w:rPr>
        <w:t>”-</w:t>
      </w:r>
      <w:proofErr w:type="spellStart"/>
      <w:r>
        <w:rPr>
          <w:rFonts w:ascii="Arial" w:hAnsi="Arial" w:cs="Arial"/>
          <w:sz w:val="20"/>
          <w:szCs w:val="20"/>
        </w:rPr>
        <w:t>ийг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хавсралт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ёсоор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баталсугай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2E875BFF" w14:textId="77777777" w:rsidR="00000000" w:rsidRDefault="00992FDE">
      <w:pPr>
        <w:pStyle w:val="NormalWeb"/>
        <w:ind w:firstLine="720"/>
        <w:divId w:val="13874094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“</w:t>
      </w:r>
      <w:proofErr w:type="spellStart"/>
      <w:r>
        <w:rPr>
          <w:rFonts w:ascii="Arial" w:hAnsi="Arial" w:cs="Arial"/>
          <w:sz w:val="20"/>
          <w:szCs w:val="20"/>
        </w:rPr>
        <w:t>Дүрэм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батлах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тухай</w:t>
      </w:r>
      <w:proofErr w:type="spellEnd"/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Засгийн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газрын</w:t>
      </w:r>
      <w:proofErr w:type="spellEnd"/>
      <w:r>
        <w:rPr>
          <w:rFonts w:ascii="Arial" w:hAnsi="Arial" w:cs="Arial"/>
          <w:sz w:val="20"/>
          <w:szCs w:val="20"/>
        </w:rPr>
        <w:t xml:space="preserve"> 1999 </w:t>
      </w:r>
      <w:proofErr w:type="spellStart"/>
      <w:r>
        <w:rPr>
          <w:rFonts w:ascii="Arial" w:hAnsi="Arial" w:cs="Arial"/>
          <w:sz w:val="20"/>
          <w:szCs w:val="20"/>
        </w:rPr>
        <w:t>оны</w:t>
      </w:r>
      <w:proofErr w:type="spellEnd"/>
      <w:r>
        <w:rPr>
          <w:rFonts w:ascii="Arial" w:hAnsi="Arial" w:cs="Arial"/>
          <w:sz w:val="20"/>
          <w:szCs w:val="20"/>
        </w:rPr>
        <w:t xml:space="preserve"> 9 </w:t>
      </w:r>
      <w:proofErr w:type="spellStart"/>
      <w:r>
        <w:rPr>
          <w:rFonts w:ascii="Arial" w:hAnsi="Arial" w:cs="Arial"/>
          <w:sz w:val="20"/>
          <w:szCs w:val="20"/>
        </w:rPr>
        <w:t>дүгээр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сарын</w:t>
      </w:r>
      <w:proofErr w:type="spellEnd"/>
      <w:r>
        <w:rPr>
          <w:rFonts w:ascii="Arial" w:hAnsi="Arial" w:cs="Arial"/>
          <w:sz w:val="20"/>
          <w:szCs w:val="20"/>
        </w:rPr>
        <w:t xml:space="preserve"> 15-ны </w:t>
      </w:r>
      <w:proofErr w:type="spellStart"/>
      <w:r>
        <w:rPr>
          <w:rFonts w:ascii="Arial" w:hAnsi="Arial" w:cs="Arial"/>
          <w:sz w:val="20"/>
          <w:szCs w:val="20"/>
        </w:rPr>
        <w:t>өдрийн</w:t>
      </w:r>
      <w:proofErr w:type="spellEnd"/>
      <w:r>
        <w:rPr>
          <w:rFonts w:ascii="Arial" w:hAnsi="Arial" w:cs="Arial"/>
          <w:sz w:val="20"/>
          <w:szCs w:val="20"/>
        </w:rPr>
        <w:t xml:space="preserve"> 146 </w:t>
      </w:r>
      <w:proofErr w:type="spellStart"/>
      <w:r>
        <w:rPr>
          <w:rFonts w:ascii="Arial" w:hAnsi="Arial" w:cs="Arial"/>
          <w:sz w:val="20"/>
          <w:szCs w:val="20"/>
        </w:rPr>
        <w:t>дугаар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тогтоолыг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хүчингүй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болсонд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тоо</w:t>
      </w:r>
      <w:r>
        <w:rPr>
          <w:rFonts w:ascii="Arial" w:hAnsi="Arial" w:cs="Arial"/>
          <w:sz w:val="20"/>
          <w:szCs w:val="20"/>
        </w:rPr>
        <w:t>цсугай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19E11789" w14:textId="77777777" w:rsidR="00000000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Монгол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Улсын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Ерөнхий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сайд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Н.ЭНХБАЯР </w:t>
      </w:r>
    </w:p>
    <w:p w14:paraId="6B50AAB3" w14:textId="76F6041C" w:rsidR="00000000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Дэд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бүтцийн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сайд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 Б.ЖИГЖИД </w:t>
      </w:r>
    </w:p>
    <w:p w14:paraId="5708991C" w14:textId="7FE6B995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516A9758" w14:textId="013CDB85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16BE3AE9" w14:textId="1AE6BBF6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20C59E01" w14:textId="584B4F16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5C25E275" w14:textId="346D9465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6AE2C420" w14:textId="188AECE0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24ADFA8F" w14:textId="417207BB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4E9F6B39" w14:textId="54E13ED3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60340BAD" w14:textId="47B0E2AF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67F5308F" w14:textId="4454C7BF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037FD683" w14:textId="5A55172F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0D675DBD" w14:textId="5183D235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49241E16" w14:textId="09A2FBE0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4CA57799" w14:textId="02E9FD68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65AB2392" w14:textId="718078FF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68AEC120" w14:textId="1333D772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46DCFCB1" w14:textId="26D6E8B2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1DA9B8B4" w14:textId="131F822C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3AD18EFA" w14:textId="1466E11E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49D6FCA3" w14:textId="57A6D0A8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359F95E6" w14:textId="46465C5D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14524463" w14:textId="33165352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7A8743F5" w14:textId="3246FFAC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68CB3216" w14:textId="564D7691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74CA8D30" w14:textId="19975596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46CBF3DF" w14:textId="195779CC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p w14:paraId="272D9D64" w14:textId="77777777" w:rsidR="00992FDE" w:rsidRDefault="00992FDE" w:rsidP="00992FDE">
      <w:pPr>
        <w:jc w:val="right"/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                                                     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Засгийн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газрын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оны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83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дугаар</w:t>
      </w:r>
      <w:proofErr w:type="spellEnd"/>
    </w:p>
    <w:p w14:paraId="1BFBC5FE" w14:textId="77777777" w:rsidR="00992FDE" w:rsidRDefault="00992FDE" w:rsidP="00992FDE">
      <w:pPr>
        <w:jc w:val="right"/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                    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тогтоолын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хавсралт</w:t>
      </w:r>
      <w:proofErr w:type="spellEnd"/>
    </w:p>
    <w:p w14:paraId="24E771C0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5E03895F" w14:textId="77777777" w:rsidR="00992FDE" w:rsidRDefault="00992FDE" w:rsidP="00992FDE">
      <w:pPr>
        <w:jc w:val="center"/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ИРГЭНИЙ НИСЭХИЙН УЛСЫН ХЯНАЛТЫН ДҮРЭМ</w:t>
      </w:r>
    </w:p>
    <w:p w14:paraId="48B9EB4F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1F8521D3" w14:textId="77777777" w:rsidR="00992FDE" w:rsidRDefault="00992FDE" w:rsidP="00992FDE">
      <w:pPr>
        <w:jc w:val="center"/>
        <w:divId w:val="1387409464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Нэг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Нийтлэг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үндэслэл</w:t>
      </w:r>
      <w:proofErr w:type="spellEnd"/>
    </w:p>
    <w:p w14:paraId="516F5340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36D98F8C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      </w:t>
      </w:r>
      <w:r>
        <w:rPr>
          <w:rFonts w:ascii="Times New Roman" w:eastAsia="Times New Roman" w:hAnsi="Times New Roman"/>
          <w:sz w:val="24"/>
          <w:szCs w:val="24"/>
        </w:rPr>
        <w:t xml:space="preserve">1.1.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зорилго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үйл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ажиллагаанд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өмчийн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хэлбэр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харгалзахгүйгээр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мэргэжлийн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тавьж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тухай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хууль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болон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холбогдох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дүрэм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журам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стандартыг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мөрдүүлэхэд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оршино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  </w:t>
      </w:r>
    </w:p>
    <w:p w14:paraId="5364CAC5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 </w:t>
      </w:r>
    </w:p>
    <w:p w14:paraId="5CC3CA65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үйл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ажиллагаанд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тавих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хяналтыг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ерөнхий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газрын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аюулгүй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ажиллагааны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зохицуулалтын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алба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цаашид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алба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гэх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хэрэгжүүлнэ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5E3874EF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36EAD269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албаны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дарга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ерөнхий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байцаагч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6996DAF6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5B5B00E2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1.4.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ерөнхий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байцаагчийг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асуудал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эрхэлсэн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Засгийн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газрын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гишүүний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санал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болгосноор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Засгийн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газар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томилж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чөлөөлнө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4D3DBF0F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54D77DF0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1.5.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байцаагч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цаашид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байцаагч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гэх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эрхийг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асуудал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эрхэлсэн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Засгийн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газрын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гишүүн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олгоно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6A0731B5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310ADE92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1.6.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байцаагч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мэргэжлээрээ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5-аас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доошгүй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ажилласан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бөгөөд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шалгалтын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ажлын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дадлага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туршлагатай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    </w:t>
      </w:r>
    </w:p>
    <w:p w14:paraId="09095D83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47550F3B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1.7.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алба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байцаагчийн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үйл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ажиллагаа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хууль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тогтоомж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олон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байгууллага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(ИКАО)-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стандарт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зөвлөмжийн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хэрэгжилтийн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байдалд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мэргэжлийн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хяналтыг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хэрэгжүүлж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аюулгүй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ажиллагааны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журмыг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зөрчсөн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үйлчлүүлэгчдийн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эрх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ашгийг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хохироосон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зөрчлийг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илрүүлж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түүнийг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арилгуулахад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чиглэгдэнэ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25361D75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2814CEDF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1.8. 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байцаагч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Засгийн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газраас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загварыг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баталсан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байцаагчийг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томилох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эрх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бүхий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албан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тушаалтнаас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олгосон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албаны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болон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хувийн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дугаар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бүхий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үнэмлэх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тэмдэг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түүнчлэн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албан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шаардлага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дүгнэлт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акт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торгуулийн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хэвлэмэл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хуудас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хэрэглэнэ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15111C9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5E241E84" w14:textId="77777777" w:rsidR="00992FDE" w:rsidRDefault="00992FDE" w:rsidP="00992FDE">
      <w:pPr>
        <w:jc w:val="center"/>
        <w:divId w:val="1387409464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Хоёр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чиглэл</w:t>
      </w:r>
      <w:proofErr w:type="spellEnd"/>
    </w:p>
    <w:p w14:paraId="2AB38745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44592953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аюулгүй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ажиллагааны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хяналтыг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дурдсан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чиглэлээр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хэрэгжүүлнэ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2B932507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47004925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хууль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тогтоомж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тэдгээрт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нийцүүлж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Засгийн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газар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асуудал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эрхэлсэн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төрийн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захиргааны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төв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байгууллагаас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гаргасан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шийдвэрийн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биелэлт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14:paraId="7102F4D8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1977EB99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2.1.2.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үйл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ажиллагаа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эрхлэхэд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зөвшөөрөл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олгох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журмын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биелэлт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зөвшөөрөл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эзэмшигчийн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үүргийн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биелэлт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14:paraId="2895FA11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1CA71B78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үйл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ажиллагаанд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тавигдах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шаардлага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холбогдох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стандартын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мөрдөлт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14:paraId="51D59466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09AAE3AD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2.1.4 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үйл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ажиллагааны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талаар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эрх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бүхий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байгууллага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албан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тушаалтнаас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хууль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тогтоомжид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нийцүүлэн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гаргасан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шийдвэрийг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үйл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ажиллагаа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эрхэлж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байгаа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ахуйн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нэгж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байгууллага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албан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тушаалтан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хэрхэн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биелүүлж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байгаа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байдалд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тавих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үнэлгээ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7BED166C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51821E60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        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Гурав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байцаагчийн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үүрэг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эрх</w:t>
      </w:r>
      <w:proofErr w:type="spellEnd"/>
    </w:p>
    <w:p w14:paraId="07D42D82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71E28587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байцаагч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дурдсан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үүрэг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хүлээнэ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</w:t>
      </w:r>
    </w:p>
    <w:p w14:paraId="1A2979D1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4432FE73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шалгалтыг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энэ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дүрмийн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2.1-д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заасан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чиглэлийн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дагуу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хэрэгжүүлэх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14:paraId="73584C1A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1D6C88D8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өмчийн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хэлбэр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харгалзахгүйгээр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ахуйн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нэгж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байгууллагын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үйл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ажиллагаанд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шалгалт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хийх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илэрсэн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зөрчлийг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арилгуулах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таслан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зогсоох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арга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хэмжээ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авах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14:paraId="67CA82A2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5F027B95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3.1.3.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хийсэн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шалгалт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гаргасан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дүгнэлт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шийдвэрийнхээ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үнэн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зөвийг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бүрэн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хариуцах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7D4BF132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657104D8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байцаагч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Төрийн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шалгалтын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тухай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хуулийн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21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дүгээр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зүйлийн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  9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-д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заасан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нийтлэг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бүрэн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эрхээс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гадна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дурдсан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эрх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эдэлнэ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14:paraId="3BD3D212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482EE331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шалгалтаар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илэрсэн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зөрчлийг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арилгах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талаар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зөвлөмж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хугацаатай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үүрэг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албан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шаардлага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өгөх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биелэлтийг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гаргуулж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авах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14:paraId="49CEA2CC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17483757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шалгалтын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ажилд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холбогдох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мэргэжлийн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хүмүүсийг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татан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оролцуулах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proofErr w:type="gramEnd"/>
    </w:p>
    <w:p w14:paraId="487FC62B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68E236FC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3.2.3.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үйл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ажиллагаанд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тавьж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байгаа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явцад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бусад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салбарын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хууль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стандарт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дүрэм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журмаар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тогтоосон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шаардлагыг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хангаагүй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зөрчил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илэрсэн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тохиолдолд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энэ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талаар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холбогдох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мэргэжлийн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байгууллагад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мэдэгдэж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зөрчлийг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арилгуулах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арга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хэмжээ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авч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шаардлагатай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тохиолдолд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шалгалтын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акт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материалыг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хууль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байгууллагад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шилжүүлэх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96459CE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29D62222" w14:textId="77777777" w:rsidR="00992FDE" w:rsidRDefault="00992FDE" w:rsidP="00992FDE">
      <w:pPr>
        <w:jc w:val="center"/>
        <w:divId w:val="1387409464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Дөрөв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Бусад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зүйл</w:t>
      </w:r>
      <w:proofErr w:type="spellEnd"/>
    </w:p>
    <w:p w14:paraId="16E83437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 </w:t>
      </w:r>
    </w:p>
    <w:p w14:paraId="6527EEDB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байцаагч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хууль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тогтоомж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холбогдох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дүрэм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журам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зөрчсөн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түүнчлэн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илэрсэн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зөрчлийг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арилгуулах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талаар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тавьсан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шаардлагыг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биелүүлээгүй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этгээдэд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Иргэний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тухай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хууль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Захиргааны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хариуцлагын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тухай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хуульд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заасан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хариуцлага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хүлээлгэнэ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48032F56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3D3BBFAC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4.2.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Зөрчил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гаргасан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этгээд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түүнд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ногдуулсан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торгууль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нөхөн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төлбөрийг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тогтоосон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хугацаанд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төсвийн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орлогод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оруулна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383503A0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64D8D84E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4.3.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байцаагчийн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гаргасан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шийдвэрийг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үндэслэлгүй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гэж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үзвэл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түүнийг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хүлээн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авсан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өдрөөс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хойш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хоногт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багтаан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нисэхийн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аюулгүй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ажиллагааны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хяналтын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ерөнхий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байцаагчид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гомдол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гаргана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6DEF179A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08696509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4.4.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Ерөнхий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байцаагч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гомдлыг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хүлээн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авсан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өдрөөс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хойш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хоногийн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дотор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хянан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шийдвэрлэнэ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Энэ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шийдвэрийг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эс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зөвшөөрвөл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шүүхэд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гомдол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гаргаж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болно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4E55C7EF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4BE40878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Улсын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байцаагч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хууль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зөрчсөн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үйл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ажиллагаа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явуулсан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бол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холбогдох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хууль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тогтоомжид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заасны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дагуу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хариуцлага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хүлээнэ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0625CBF9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730EC3E7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187E7AD1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473A6E2E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27A1B4C7" w14:textId="77777777" w:rsidR="00992FDE" w:rsidRDefault="00992FDE" w:rsidP="00992FDE">
      <w:pPr>
        <w:jc w:val="center"/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----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оОо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-----</w:t>
      </w:r>
    </w:p>
    <w:p w14:paraId="01A0F683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171DA641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677FDAF6" w14:textId="77777777" w:rsidR="00992FDE" w:rsidRDefault="00992FDE" w:rsidP="00992FDE">
      <w:pPr>
        <w:divId w:val="138740946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 </w:t>
      </w:r>
    </w:p>
    <w:p w14:paraId="4BE83B09" w14:textId="77777777" w:rsidR="00992FDE" w:rsidRDefault="00992FDE">
      <w:pPr>
        <w:jc w:val="center"/>
        <w:divId w:val="1387409464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99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DE"/>
    <w:rsid w:val="0099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BE66C1"/>
  <w15:chartTrackingRefBased/>
  <w15:docId w15:val="{9B05A0CD-735E-4B14-A108-5064EB48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9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www.legalinfo.mn/uploads/images/sul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subject/>
  <dc:creator>Сугармаа.С,Аудитор,261729</dc:creator>
  <cp:keywords/>
  <dc:description/>
  <cp:lastModifiedBy>Сугармаа.С,Аудитор,261729</cp:lastModifiedBy>
  <cp:revision>2</cp:revision>
  <dcterms:created xsi:type="dcterms:W3CDTF">2020-11-28T07:15:00Z</dcterms:created>
  <dcterms:modified xsi:type="dcterms:W3CDTF">2020-11-28T07:15:00Z</dcterms:modified>
</cp:coreProperties>
</file>